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1366"/>
        <w:gridCol w:w="8263"/>
        <w:gridCol w:w="802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1" w:hRule="atLeast"/>
        </w:trPr>
        <w:tc>
          <w:tcPr>
            <w:tcW w:w="9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72"/>
                <w:szCs w:val="72"/>
                <w:vertAlign w:val="baseline"/>
                <w:lang w:val="en-US" w:eastAsia="zh-CN"/>
              </w:rPr>
              <w:t>附件二</w:t>
            </w:r>
          </w:p>
        </w:tc>
        <w:tc>
          <w:tcPr>
            <w:tcW w:w="9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事件相关电位系统</w:t>
            </w:r>
          </w:p>
        </w:tc>
        <w:tc>
          <w:tcPr>
            <w:tcW w:w="8263" w:type="dxa"/>
          </w:tcPr>
          <w:p>
            <w:pPr>
              <w:pStyle w:val="6"/>
              <w:numPr>
                <w:ilvl w:val="0"/>
                <w:numId w:val="1"/>
              </w:numPr>
              <w:spacing w:line="0" w:lineRule="atLeast"/>
              <w:ind w:left="0" w:leftChars="0" w:firstLine="0" w:firstLineChars="0"/>
              <w:jc w:val="left"/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硬件</w:t>
            </w:r>
            <w:bookmarkStart w:id="0" w:name="_GoBack"/>
            <w:bookmarkEnd w:id="0"/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1.1、具有ABR、EEG、ERP、ECOG、SPIKE等采集分析功能；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1.2单体45导放大器（32导脑电，10通道双极导联，3通道额外导联）；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1.3最大升级容量：512导；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1.4采样率:≥4,000 Hz/导；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1.5带宽:0～1000 Hz；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1.6A/D 转换分辨率: 24Bit；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1.7共模抑制比:≥100dB，输入噪声:≤2uV RMS；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1.8灵敏度:DC模式不大于18nV/bit ，放大器具有DC采集方式；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1.9输入范围（AC Mode） :+/- 900uV；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1.10系统增益（AC Mode）:≥2000；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1.11放大器网线供电，可使用路由器将多台放大器同步；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1.12操作系统：WIN7或者WIN8；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1.13虚拟现实脑电同步盒参数：可发同步信号给脑电设备，供用户进行虚拟现实和脑电的同步研究，可编程实现自动同步脑电信号，亦可支持手动同步脑电信号；最大同步频率：100Hz，提供VR和脑电数据的同步接口SDK (C/C++)供二次开发。</w:t>
            </w:r>
          </w:p>
          <w:p>
            <w:pPr>
              <w:pStyle w:val="6"/>
              <w:spacing w:line="0" w:lineRule="atLeast"/>
              <w:ind w:left="0" w:leftChars="0" w:firstLine="0" w:firstLineChars="0"/>
              <w:jc w:val="left"/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Theme="minorAscii" w:hAnsiTheme="minorAsci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.</w:t>
            </w: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数据采集和分析软件：</w:t>
            </w:r>
            <w:r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　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2.1连续或分段采集；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2.2放大器、刺激生成系统、脑电采集（包括输入阻抗测试）等均由系统自动校准；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2.3在数据采集过程中所有事件均自动检测并记录，反应代码和刺激代码可以有效分离；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2.4软件自动校准，使刺激与记录严格同步；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2.5可进行单极记录和双极记录脑电，参考电极可根据实验要求任意选择相关位置； 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2.6具有多人同步采集功能，不需要借助第三方软件，在同一个软件可实现至少8人同步数据采集功能（根据用户需求提供视频录制演示）；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2.7可以在线进行脑电阻抗检测及数据分析；滤波（从傅氏变换到小波变换）、数据重组；脑电频谱分析及时域特征分析、叠加平均；PCA/ICA成分分析；在线数据转接到Matlab；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2.8 2D和3D脑电地形图（时域及频域特征）及其动态在线呈现；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2.9依实验和研究需求进行数据滤波、数据重组、去除眼电干扰及伪迹剃除；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2.10可进行事件相关的脑电位、频谱、相干/同步分析；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2.11可以用ASCII码读入和输出数据；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2.12提供宏命令，使得批处理更简单，即可以一键式完成操作。</w:t>
            </w:r>
          </w:p>
          <w:p>
            <w:pPr>
              <w:pStyle w:val="6"/>
              <w:numPr>
                <w:ilvl w:val="0"/>
                <w:numId w:val="0"/>
              </w:numPr>
              <w:spacing w:line="0" w:lineRule="atLeast"/>
              <w:ind w:leftChars="0"/>
              <w:jc w:val="left"/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 xml:space="preserve">3. </w:t>
            </w: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电极帽：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3.1.电极帽采用导电膏与盐水两种方式采集信号，标准的银/氯化银(Ag/AgC1)电极可将DC偏移最小化；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3.2所有电极都很清楚地标记在帽子上，不是在放大器的接口上，使电极的定位快速简便；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3.3导电膏电极帽为导电膏介质，确保头皮输入阻抗不大于5KOhms；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3.4盐水电极帽采用橡胶网状布局，电极为海绵电极，可重复使用。佩戴方便，5分钟内戴好；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3.5盐水电极帽为生理盐水介质，确保头皮输入阻抗不大于10KOhms。可满足儿童以及快速实验要求等被试，供应商需提供如截图等证明。</w:t>
            </w:r>
          </w:p>
          <w:p>
            <w:pPr>
              <w:pStyle w:val="6"/>
              <w:spacing w:line="0" w:lineRule="atLeast"/>
              <w:ind w:left="0" w:leftChars="0" w:firstLine="0" w:firstLineChars="0"/>
              <w:jc w:val="left"/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Theme="minorAscii" w:hAnsiTheme="minorAsci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.</w:t>
            </w: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工作站：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工作站2套：屏幕19英寸,CPU型号：Intel 酷睿i5,CPU主频：3.2GHz,内存容量：4GB，独立显卡：1GB,硬盘容量：1TB，操作系统：Windows 7 摄像头：集成摄像头 光驱类型：DVD刻录机;被试专用19英寸正屏显示器一台。</w:t>
            </w:r>
          </w:p>
          <w:p>
            <w:pPr>
              <w:pStyle w:val="6"/>
              <w:spacing w:line="0" w:lineRule="atLeast"/>
              <w:ind w:left="0" w:leftChars="0" w:firstLine="0" w:firstLineChars="0"/>
              <w:jc w:val="left"/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asciiTheme="minorAscii" w:hAnsiTheme="minorAsci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.</w:t>
            </w: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配置清单：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5.1放大器                            1套；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5.2采集软件                          1套；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5.3数据分析软件                      1套；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5.4刺激软件                          1套；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5.5  32导电极帽（导电膏/生理盐水）   2顶；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5.6导电膏                            5桶；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5.7磨砂膏                            3支；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5.8电极帽附件                        1套；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5.9工作站                            2台；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5.10被试专用显示器                   1台；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5.11分屏切换器                       1套。</w:t>
            </w:r>
          </w:p>
          <w:p>
            <w:pPr>
              <w:pStyle w:val="6"/>
              <w:spacing w:line="0" w:lineRule="atLeast"/>
              <w:ind w:left="0" w:leftChars="0" w:firstLine="0" w:firstLineChars="0"/>
              <w:jc w:val="left"/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Theme="minorAscii" w:hAnsiTheme="minorAscii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.</w:t>
            </w:r>
            <w:r>
              <w:rPr>
                <w:rFonts w:hint="eastAsia" w:asciiTheme="minorAscii" w:hAnsiTheme="minorAsci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售后及其他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6.1质保期一年，同系列软件终身免费升级；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6.2设备安全认证要求:须提供FDA,CFDA,CE等；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6.3供应商确保所提供货物的技术资料完整统一且内容准确，所提供货物技术参数要真实有效，须和制造厂家官方网站公布参数要严格一致，如有差异，以官方网站为准，提供官网技术参数截图，不提供视为不响应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6.4招投标流程中，凡有争议者签订合同前要带样机进行检测，一切费用由供应商承担；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6.5硬件出现故障要求厂家24小时响应，48小时内到达，如返厂维修，须提供样机；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6.6仪器使用问题需要2小时内响应，可通过电话、邮件等、如果不能解决，48小时内到达用户指定地点进行指导；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6.7一周仪器操作使用培训，用户指定地点培训，不限制人数，可根据需要延长培训时间；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6.8使用一段时间后，可根据用户需要再次到用户指定地点在进行培训；</w:t>
            </w:r>
          </w:p>
          <w:p>
            <w:pPr>
              <w:pStyle w:val="6"/>
              <w:spacing w:line="0" w:lineRule="atLeast"/>
              <w:ind w:left="0" w:leftChars="0" w:firstLine="420" w:firstLineChars="200"/>
              <w:jc w:val="left"/>
              <w:rPr>
                <w:rFonts w:hint="eastAsia" w:asciiTheme="minorAscii" w:hAnsiTheme="minorAsci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6.9为保证产品质量，需提供生产厂商或中国区总代理商出具的授权书。</w:t>
            </w:r>
          </w:p>
        </w:tc>
        <w:tc>
          <w:tcPr>
            <w:tcW w:w="8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1套</w:t>
            </w:r>
          </w:p>
        </w:tc>
        <w:tc>
          <w:tcPr>
            <w:tcW w:w="145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2020年9月-2020年11月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995A"/>
    <w:multiLevelType w:val="singleLevel"/>
    <w:tmpl w:val="362E995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61D8"/>
    <w:rsid w:val="789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2020-09-28T07:52:00Z</dcterms:created>
  <dc:creator>冬至</dc:creator>
  <cp:lastModifiedBy>冬至</cp:lastModifiedBy>
  <dcterms:modified xsi:type="dcterms:W3CDTF">2020-09-28T07:55:35Z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