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黑体" w:hAnsi="黑体" w:eastAsia="黑体"/>
          <w:b/>
          <w:bCs/>
          <w:sz w:val="36"/>
          <w:szCs w:val="36"/>
        </w:rPr>
      </w:pPr>
      <w:r>
        <w:rPr>
          <w:rFonts w:hint="eastAsia" w:ascii="黑体" w:hAnsi="黑体" w:eastAsia="黑体"/>
          <w:b/>
          <w:bCs/>
          <w:sz w:val="36"/>
          <w:szCs w:val="36"/>
          <w:lang w:val="en-US" w:eastAsia="zh-CN"/>
        </w:rPr>
        <w:t>附件：</w:t>
      </w:r>
      <w:r>
        <w:rPr>
          <w:rFonts w:hint="eastAsia" w:ascii="黑体" w:hAnsi="黑体" w:eastAsia="黑体"/>
          <w:b/>
          <w:bCs/>
          <w:sz w:val="36"/>
          <w:szCs w:val="36"/>
        </w:rPr>
        <w:t>原有服务器升级采购项目参数</w:t>
      </w:r>
    </w:p>
    <w:p>
      <w:pPr>
        <w:jc w:val="left"/>
        <w:outlineLvl w:val="0"/>
        <w:rPr>
          <w:rFonts w:hint="eastAsia" w:ascii="黑体" w:hAnsi="黑体" w:eastAsia="黑体"/>
          <w:b/>
          <w:bCs/>
          <w:sz w:val="36"/>
          <w:szCs w:val="36"/>
        </w:rPr>
      </w:pPr>
      <w:bookmarkStart w:id="0" w:name="_GoBack"/>
      <w:bookmarkEnd w:id="0"/>
    </w:p>
    <w:tbl>
      <w:tblPr>
        <w:tblStyle w:val="2"/>
        <w:tblpPr w:leftFromText="180" w:rightFromText="180" w:vertAnchor="text" w:horzAnchor="margin" w:tblpXSpec="center" w:tblpY="743"/>
        <w:tblW w:w="9589" w:type="dxa"/>
        <w:tblInd w:w="0" w:type="dxa"/>
        <w:tblLayout w:type="autofit"/>
        <w:tblCellMar>
          <w:top w:w="0" w:type="dxa"/>
          <w:left w:w="108" w:type="dxa"/>
          <w:bottom w:w="0" w:type="dxa"/>
          <w:right w:w="108" w:type="dxa"/>
        </w:tblCellMar>
      </w:tblPr>
      <w:tblGrid>
        <w:gridCol w:w="720"/>
        <w:gridCol w:w="2540"/>
        <w:gridCol w:w="5478"/>
        <w:gridCol w:w="851"/>
      </w:tblGrid>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54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产品名称</w:t>
            </w:r>
          </w:p>
        </w:tc>
        <w:tc>
          <w:tcPr>
            <w:tcW w:w="54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配置要求</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w:t>
            </w:r>
          </w:p>
        </w:tc>
        <w:tc>
          <w:tcPr>
            <w:tcW w:w="25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服务器CPU</w:t>
            </w:r>
          </w:p>
        </w:tc>
        <w:tc>
          <w:tcPr>
            <w:tcW w:w="547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Intel(R) Xeon(R) Gold 6230 CPU @ 2.10GHz</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w:t>
            </w:r>
          </w:p>
        </w:tc>
        <w:tc>
          <w:tcPr>
            <w:tcW w:w="25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服务器内存</w:t>
            </w:r>
          </w:p>
        </w:tc>
        <w:tc>
          <w:tcPr>
            <w:tcW w:w="547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通用内存-DDR4 RDIMM-32GB</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36</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w:t>
            </w:r>
          </w:p>
        </w:tc>
        <w:tc>
          <w:tcPr>
            <w:tcW w:w="25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服务器存储扩容</w:t>
            </w:r>
          </w:p>
        </w:tc>
        <w:tc>
          <w:tcPr>
            <w:tcW w:w="547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3.84TB SSD SAS硬盘单元(2.5")-sectorsize-520</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12</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w:t>
            </w:r>
          </w:p>
        </w:tc>
        <w:tc>
          <w:tcPr>
            <w:tcW w:w="25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服务器散热器</w:t>
            </w:r>
          </w:p>
        </w:tc>
        <w:tc>
          <w:tcPr>
            <w:tcW w:w="547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CPU散热器</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5</w:t>
            </w:r>
          </w:p>
        </w:tc>
        <w:tc>
          <w:tcPr>
            <w:tcW w:w="25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服务器散热硅胶</w:t>
            </w:r>
          </w:p>
        </w:tc>
        <w:tc>
          <w:tcPr>
            <w:tcW w:w="547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硅脂</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w:t>
            </w:r>
          </w:p>
        </w:tc>
        <w:tc>
          <w:tcPr>
            <w:tcW w:w="25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服务器升级</w:t>
            </w:r>
          </w:p>
        </w:tc>
        <w:tc>
          <w:tcPr>
            <w:tcW w:w="547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5885H V5 扣板 主机SN:2102312WJG10LC000039</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7</w:t>
            </w:r>
          </w:p>
        </w:tc>
        <w:tc>
          <w:tcPr>
            <w:tcW w:w="25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虚拟化软件</w:t>
            </w:r>
          </w:p>
        </w:tc>
        <w:tc>
          <w:tcPr>
            <w:tcW w:w="547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虚拟化授权</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8</w:t>
            </w:r>
          </w:p>
        </w:tc>
        <w:tc>
          <w:tcPr>
            <w:tcW w:w="25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维保服务</w:t>
            </w:r>
          </w:p>
        </w:tc>
        <w:tc>
          <w:tcPr>
            <w:tcW w:w="547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1年质保服务</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w:t>
            </w:r>
          </w:p>
        </w:tc>
        <w:tc>
          <w:tcPr>
            <w:tcW w:w="25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安装调试服务</w:t>
            </w:r>
          </w:p>
        </w:tc>
        <w:tc>
          <w:tcPr>
            <w:tcW w:w="547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安装调试服务</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w:t>
            </w:r>
          </w:p>
        </w:tc>
      </w:tr>
    </w:tbl>
    <w:p>
      <w:pPr>
        <w:rPr>
          <w:rFonts w:hint="eastAsia" w:ascii="黑体" w:hAnsi="黑体" w:eastAsia="黑体"/>
          <w:sz w:val="28"/>
          <w:szCs w:val="28"/>
        </w:rPr>
      </w:pPr>
      <w:r>
        <w:rPr>
          <w:rFonts w:ascii="黑体" w:hAnsi="黑体" w:eastAsia="黑体"/>
          <w:sz w:val="28"/>
          <w:szCs w:val="28"/>
        </w:rPr>
        <w:t>一</w:t>
      </w:r>
      <w:r>
        <w:rPr>
          <w:rFonts w:hint="eastAsia" w:ascii="黑体" w:hAnsi="黑体" w:eastAsia="黑体"/>
          <w:sz w:val="28"/>
          <w:szCs w:val="28"/>
        </w:rPr>
        <w:t>、服务器升级清单</w:t>
      </w:r>
    </w:p>
    <w:p>
      <w:pPr>
        <w:rPr>
          <w:rFonts w:ascii="黑体" w:hAnsi="黑体" w:eastAsia="黑体"/>
          <w:sz w:val="28"/>
          <w:szCs w:val="28"/>
        </w:rPr>
      </w:pPr>
      <w:r>
        <w:rPr>
          <w:rFonts w:hint="eastAsia" w:ascii="黑体" w:hAnsi="黑体" w:eastAsia="黑体"/>
          <w:sz w:val="28"/>
          <w:szCs w:val="28"/>
        </w:rPr>
        <w:t>二、华为eSight网管平台软件授权扩容:</w:t>
      </w:r>
    </w:p>
    <w:p>
      <w:pPr>
        <w:spacing w:line="360" w:lineRule="auto"/>
        <w:ind w:firstLine="480" w:firstLineChars="200"/>
        <w:rPr>
          <w:sz w:val="28"/>
          <w:szCs w:val="28"/>
        </w:rPr>
      </w:pPr>
      <w:r>
        <w:rPr>
          <w:rFonts w:hint="eastAsia"/>
          <w:sz w:val="24"/>
          <w:szCs w:val="28"/>
        </w:rPr>
        <w:t>1、eSight网管虚拟机授权管理许可授权12个；</w:t>
      </w:r>
    </w:p>
    <w:p>
      <w:pPr>
        <w:spacing w:line="360" w:lineRule="auto"/>
        <w:ind w:firstLine="480" w:firstLineChars="200"/>
        <w:rPr>
          <w:sz w:val="24"/>
          <w:szCs w:val="28"/>
        </w:rPr>
      </w:pPr>
      <w:r>
        <w:rPr>
          <w:sz w:val="24"/>
          <w:szCs w:val="28"/>
        </w:rPr>
        <w:t>2、</w:t>
      </w:r>
      <w:r>
        <w:rPr>
          <w:rFonts w:hint="eastAsia"/>
          <w:sz w:val="24"/>
          <w:szCs w:val="28"/>
        </w:rPr>
        <w:t>为保证eSight网管软件扩容授权的兼容性，投标公司需要持有现网eSight网管厂家华为公司的兼容性证明文件并加盖华为公司公章或投标专用章。</w:t>
      </w:r>
    </w:p>
    <w:p>
      <w:pPr>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、其他要求</w:t>
      </w:r>
    </w:p>
    <w:p>
      <w:pPr>
        <w:spacing w:line="360" w:lineRule="auto"/>
        <w:ind w:firstLine="480" w:firstLineChars="200"/>
        <w:rPr>
          <w:sz w:val="24"/>
          <w:szCs w:val="28"/>
        </w:rPr>
      </w:pPr>
      <w:r>
        <w:rPr>
          <w:rFonts w:hint="eastAsia"/>
          <w:sz w:val="24"/>
          <w:szCs w:val="28"/>
        </w:rPr>
        <w:t>为保障所提供货物是华为公司正品设备，投标公司需持有华为公司提供的授权函并加盖华为公司公章或投标专用章。</w:t>
      </w:r>
    </w:p>
    <w:p>
      <w:pPr>
        <w:spacing w:line="360" w:lineRule="auto"/>
        <w:ind w:firstLine="480" w:firstLineChars="200"/>
        <w:rPr>
          <w:sz w:val="24"/>
          <w:szCs w:val="28"/>
        </w:rPr>
      </w:pPr>
      <w:r>
        <w:rPr>
          <w:sz w:val="24"/>
          <w:szCs w:val="28"/>
        </w:rPr>
        <w:t>硬件设备包含</w:t>
      </w:r>
      <w:r>
        <w:rPr>
          <w:rFonts w:hint="eastAsia"/>
          <w:sz w:val="24"/>
          <w:szCs w:val="28"/>
        </w:rPr>
        <w:t>安装上架，光纤、电源、网线等辅材，软件包含设备调试，网管接入，容灾规划，虚机部署等。</w:t>
      </w:r>
    </w:p>
    <w:p>
      <w:pPr>
        <w:spacing w:line="360" w:lineRule="auto"/>
        <w:ind w:firstLine="480" w:firstLineChars="200"/>
        <w:rPr>
          <w:sz w:val="28"/>
          <w:szCs w:val="28"/>
        </w:rPr>
      </w:pPr>
      <w:r>
        <w:rPr>
          <w:sz w:val="24"/>
          <w:szCs w:val="28"/>
        </w:rPr>
        <w:t>投标公司需具备华为公司授予的金牌或银牌经销商认证资质。</w:t>
      </w:r>
    </w:p>
    <w:p>
      <w:pPr>
        <w:jc w:val="right"/>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ZGU2Y2Y5MzJlODg3NDJkNzE3ZDE5ZjFhM2Y2OWIifQ=="/>
  </w:docVars>
  <w:rsids>
    <w:rsidRoot w:val="00B02E6D"/>
    <w:rsid w:val="00065169"/>
    <w:rsid w:val="0099513B"/>
    <w:rsid w:val="00B02E6D"/>
    <w:rsid w:val="5F401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86</Words>
  <Characters>491</Characters>
  <Lines>4</Lines>
  <Paragraphs>1</Paragraphs>
  <TotalTime>18</TotalTime>
  <ScaleCrop>false</ScaleCrop>
  <LinksUpToDate>false</LinksUpToDate>
  <CharactersWithSpaces>576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2024-01-19T08:46:00Z</dcterms:created>
  <dc:creator>Administrator</dc:creator>
  <cp:lastModifiedBy>Kill</cp:lastModifiedBy>
  <dcterms:modified xsi:type="dcterms:W3CDTF">2024-01-19T09:16:50Z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DB4F6CDE9A7D4193AE11A86C24582221_12</vt:lpwstr>
  </property>
</Properties>
</file>